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007EC0">
      <w:pPr>
        <w:pStyle w:val="4"/>
        <w:keepNext/>
        <w:keepLines/>
        <w:pageBreakBefore w:val="0"/>
        <w:widowControl w:val="0"/>
        <w:kinsoku/>
        <w:wordWrap/>
        <w:overflowPunct/>
        <w:topLinePunct w:val="0"/>
        <w:autoSpaceDE/>
        <w:autoSpaceDN/>
        <w:bidi w:val="0"/>
        <w:adjustRightInd/>
        <w:snapToGrid/>
        <w:spacing w:before="0" w:beforeLines="0" w:after="0" w:afterLines="0" w:line="580" w:lineRule="exact"/>
        <w:jc w:val="center"/>
        <w:textAlignment w:val="auto"/>
        <w:rPr>
          <w:rFonts w:hint="eastAsia" w:ascii="方正公文小标宋" w:hAnsi="方正公文小标宋" w:eastAsia="方正公文小标宋" w:cs="方正公文小标宋"/>
          <w:b w:val="0"/>
          <w:kern w:val="2"/>
          <w:sz w:val="44"/>
          <w:szCs w:val="44"/>
          <w:lang w:val="en-US" w:eastAsia="zh-CN" w:bidi="ar-SA"/>
        </w:rPr>
      </w:pPr>
      <w:r>
        <w:rPr>
          <w:rFonts w:hint="eastAsia" w:ascii="方正公文小标宋" w:hAnsi="方正公文小标宋" w:eastAsia="方正公文小标宋" w:cs="方正公文小标宋"/>
          <w:b w:val="0"/>
          <w:kern w:val="2"/>
          <w:sz w:val="44"/>
          <w:szCs w:val="44"/>
          <w:lang w:val="en-US" w:eastAsia="zh-CN" w:bidi="ar-SA"/>
        </w:rPr>
        <w:t>周口港城投资发展有限公司</w:t>
      </w:r>
    </w:p>
    <w:p w14:paraId="2880458D">
      <w:pPr>
        <w:pStyle w:val="4"/>
        <w:keepNext/>
        <w:keepLines/>
        <w:pageBreakBefore w:val="0"/>
        <w:widowControl w:val="0"/>
        <w:kinsoku/>
        <w:wordWrap/>
        <w:overflowPunct/>
        <w:topLinePunct w:val="0"/>
        <w:autoSpaceDE/>
        <w:autoSpaceDN/>
        <w:bidi w:val="0"/>
        <w:adjustRightInd/>
        <w:snapToGrid/>
        <w:spacing w:before="0" w:beforeLines="0" w:after="0" w:afterLines="0" w:line="580" w:lineRule="exact"/>
        <w:jc w:val="center"/>
        <w:textAlignment w:val="auto"/>
        <w:rPr>
          <w:rFonts w:hint="eastAsia" w:ascii="方正公文小标宋" w:hAnsi="方正公文小标宋" w:eastAsia="方正公文小标宋" w:cs="方正公文小标宋"/>
          <w:b w:val="0"/>
          <w:kern w:val="2"/>
          <w:sz w:val="44"/>
          <w:szCs w:val="44"/>
          <w:lang w:val="en-US" w:eastAsia="zh-CN" w:bidi="ar-SA"/>
        </w:rPr>
      </w:pPr>
      <w:r>
        <w:rPr>
          <w:rFonts w:hint="eastAsia" w:ascii="方正公文小标宋" w:hAnsi="方正公文小标宋" w:eastAsia="方正公文小标宋" w:cs="方正公文小标宋"/>
          <w:b w:val="0"/>
          <w:kern w:val="2"/>
          <w:sz w:val="44"/>
          <w:szCs w:val="44"/>
          <w:lang w:val="en-US" w:eastAsia="zh-CN" w:bidi="ar-SA"/>
        </w:rPr>
        <w:t>2025年专项债券项目基本情况</w:t>
      </w:r>
    </w:p>
    <w:p w14:paraId="1399BFCC">
      <w:pPr>
        <w:rPr>
          <w:rFonts w:hint="default"/>
          <w:lang w:val="en-US" w:eastAsia="zh-CN"/>
        </w:rPr>
      </w:pPr>
    </w:p>
    <w:p w14:paraId="0F089BCA">
      <w:pPr>
        <w:keepNext w:val="0"/>
        <w:keepLines w:val="0"/>
        <w:pageBreakBefore w:val="0"/>
        <w:widowControl w:val="0"/>
        <w:kinsoku/>
        <w:wordWrap/>
        <w:overflowPunct/>
        <w:topLinePunct w:val="0"/>
        <w:autoSpaceDE/>
        <w:autoSpaceDN/>
        <w:bidi w:val="0"/>
        <w:adjustRightInd/>
        <w:snapToGrid/>
        <w:spacing w:line="580" w:lineRule="exact"/>
        <w:ind w:firstLine="420" w:firstLineChars="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为了加快推进周口港区棚户区改造项目和中心港发展，解决基础设施建设出现短板的问题，202</w:t>
      </w:r>
      <w:r>
        <w:rPr>
          <w:rFonts w:hint="eastAsia" w:ascii="Times New Roman" w:hAnsi="Times New Roman" w:eastAsia="仿宋" w:cs="Times New Roman"/>
          <w:sz w:val="32"/>
          <w:szCs w:val="32"/>
          <w:lang w:val="en-US" w:eastAsia="zh-CN"/>
        </w:rPr>
        <w:t>5</w:t>
      </w:r>
      <w:r>
        <w:rPr>
          <w:rFonts w:hint="default" w:ascii="Times New Roman" w:hAnsi="Times New Roman" w:eastAsia="仿宋" w:cs="Times New Roman"/>
          <w:sz w:val="32"/>
          <w:szCs w:val="32"/>
          <w:lang w:val="en-US" w:eastAsia="zh-CN"/>
        </w:rPr>
        <w:t>年周口港城投资发展有限公司从实际情况出发，继续开展建设周口港口物流产业集聚区未来家园三期、四期两个改造棚户区项目</w:t>
      </w:r>
      <w:r>
        <w:rPr>
          <w:rFonts w:hint="eastAsia" w:ascii="Times New Roman" w:hAnsi="Times New Roman" w:eastAsia="仿宋" w:cs="Times New Roman"/>
          <w:sz w:val="32"/>
          <w:szCs w:val="32"/>
          <w:lang w:val="en-US" w:eastAsia="zh-CN"/>
        </w:rPr>
        <w:t>、</w:t>
      </w:r>
      <w:r>
        <w:rPr>
          <w:rFonts w:hint="default" w:ascii="Times New Roman" w:hAnsi="Times New Roman" w:eastAsia="仿宋" w:cs="Times New Roman"/>
          <w:sz w:val="32"/>
          <w:szCs w:val="32"/>
          <w:lang w:val="en-US" w:eastAsia="zh-CN"/>
        </w:rPr>
        <w:t>子公司周口港投物流产业园区开发有限公司周口港口保税物流中心（B型）项目</w:t>
      </w:r>
      <w:r>
        <w:rPr>
          <w:rFonts w:hint="eastAsia" w:ascii="Times New Roman" w:hAnsi="Times New Roman" w:eastAsia="仿宋" w:cs="Times New Roman"/>
          <w:sz w:val="32"/>
          <w:szCs w:val="32"/>
          <w:lang w:val="en-US" w:eastAsia="zh-CN"/>
        </w:rPr>
        <w:t>以及</w:t>
      </w:r>
      <w:r>
        <w:rPr>
          <w:rFonts w:hint="default" w:ascii="Times New Roman" w:hAnsi="Times New Roman" w:eastAsia="仿宋" w:cs="Times New Roman"/>
          <w:sz w:val="32"/>
          <w:szCs w:val="32"/>
          <w:lang w:val="en-US" w:eastAsia="zh-CN"/>
        </w:rPr>
        <w:t>周口兴港投资发展有限公司中小企业产业园基础设施建设项目。具体情况如下：</w:t>
      </w:r>
    </w:p>
    <w:p w14:paraId="1B38E026">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420" w:leftChars="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未来家园三期</w:t>
      </w:r>
    </w:p>
    <w:p w14:paraId="069B5573">
      <w:pPr>
        <w:keepNext w:val="0"/>
        <w:keepLines w:val="0"/>
        <w:pageBreakBefore w:val="0"/>
        <w:widowControl w:val="0"/>
        <w:kinsoku/>
        <w:wordWrap/>
        <w:overflowPunct/>
        <w:topLinePunct w:val="0"/>
        <w:autoSpaceDE/>
        <w:autoSpaceDN/>
        <w:bidi w:val="0"/>
        <w:adjustRightInd/>
        <w:snapToGrid/>
        <w:spacing w:line="580" w:lineRule="exact"/>
        <w:ind w:firstLine="420" w:firstLineChars="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周口港区未来家园三期棚户区改造项目主要对周口港口物流产业集聚区大杨楼、小杨楼、苑庄、王楼、郭河、苑寨、敢庄七个村庄1000 户村民进行</w:t>
      </w:r>
      <w:r>
        <w:rPr>
          <w:rFonts w:hint="eastAsia" w:ascii="Times New Roman" w:hAnsi="Times New Roman" w:eastAsia="仿宋" w:cs="Times New Roman"/>
          <w:sz w:val="32"/>
          <w:szCs w:val="32"/>
          <w:lang w:val="en-US" w:eastAsia="zh-CN"/>
        </w:rPr>
        <w:t>征迁</w:t>
      </w:r>
      <w:r>
        <w:rPr>
          <w:rFonts w:hint="default" w:ascii="Times New Roman" w:hAnsi="Times New Roman" w:eastAsia="仿宋" w:cs="Times New Roman"/>
          <w:sz w:val="32"/>
          <w:szCs w:val="32"/>
          <w:lang w:val="en-US" w:eastAsia="zh-CN"/>
        </w:rPr>
        <w:t>安置，拆迁面积20万平方米。项目安置区总规划用地 136 亩，总建设用地 90.75 亩，本次项目建设用地46.89 亩，建筑面积 90642 平方米，其中：安置房建筑面积68695 平方米，社区服务用房 5393 平方米，地下建筑面积 16554 平方米，包括地下室建筑面积 4994 平方米、地下车库建筑面积 11560 平方米，配套道路、绿化、变配电、车位等附属设施。</w:t>
      </w:r>
    </w:p>
    <w:p w14:paraId="7DB53C4E">
      <w:pPr>
        <w:keepNext w:val="0"/>
        <w:keepLines w:val="0"/>
        <w:pageBreakBefore w:val="0"/>
        <w:widowControl w:val="0"/>
        <w:kinsoku/>
        <w:wordWrap/>
        <w:overflowPunct/>
        <w:topLinePunct w:val="0"/>
        <w:autoSpaceDE/>
        <w:autoSpaceDN/>
        <w:bidi w:val="0"/>
        <w:adjustRightInd/>
        <w:snapToGrid/>
        <w:spacing w:line="580" w:lineRule="exact"/>
        <w:ind w:firstLine="676" w:firstLineChars="200"/>
        <w:jc w:val="left"/>
        <w:textAlignment w:val="auto"/>
        <w:rPr>
          <w:rFonts w:hint="default" w:ascii="Times New Roman" w:hAnsi="Times New Roman" w:eastAsia="仿宋" w:cs="Times New Roman"/>
          <w:spacing w:val="9"/>
          <w:sz w:val="32"/>
          <w:szCs w:val="32"/>
          <w:lang w:val="en-US" w:eastAsia="zh-CN"/>
        </w:rPr>
      </w:pPr>
      <w:r>
        <w:rPr>
          <w:rFonts w:hint="default" w:ascii="Times New Roman" w:hAnsi="Times New Roman" w:eastAsia="仿宋" w:cs="Times New Roman"/>
          <w:spacing w:val="9"/>
          <w:sz w:val="32"/>
          <w:szCs w:val="32"/>
          <w:lang w:val="en-US" w:eastAsia="zh-CN"/>
        </w:rPr>
        <w:t>该项目投资额68530万元，本项目所需资金由财政资金安排、申请政府专项债券资金和银行贷款相结合的方式筹措，其中财政资金安排14530.00万元，申请</w:t>
      </w:r>
      <w:r>
        <w:rPr>
          <w:rFonts w:hint="eastAsia" w:ascii="Times New Roman" w:hAnsi="Times New Roman" w:eastAsia="仿宋" w:cs="Times New Roman"/>
          <w:spacing w:val="9"/>
          <w:sz w:val="32"/>
          <w:szCs w:val="32"/>
          <w:lang w:val="en-US" w:eastAsia="zh-CN"/>
        </w:rPr>
        <w:t>专项</w:t>
      </w:r>
      <w:r>
        <w:rPr>
          <w:rFonts w:hint="default" w:ascii="Times New Roman" w:hAnsi="Times New Roman" w:eastAsia="仿宋" w:cs="Times New Roman"/>
          <w:spacing w:val="9"/>
          <w:sz w:val="32"/>
          <w:szCs w:val="32"/>
          <w:lang w:val="en-US" w:eastAsia="zh-CN"/>
        </w:rPr>
        <w:t>债券资金 15000.00万元，期限5年，银行贷款39000.00万元。</w:t>
      </w:r>
      <w:r>
        <w:rPr>
          <w:rFonts w:hint="eastAsia" w:ascii="Times New Roman" w:hAnsi="Times New Roman" w:eastAsia="仿宋" w:cs="Times New Roman"/>
          <w:spacing w:val="9"/>
          <w:sz w:val="32"/>
          <w:szCs w:val="32"/>
          <w:lang w:val="en-US" w:eastAsia="zh-CN"/>
        </w:rPr>
        <w:t>目前该项目共收到专项债券6800万元，已支出完毕。</w:t>
      </w:r>
    </w:p>
    <w:p w14:paraId="56F7E6BB">
      <w:pPr>
        <w:pStyle w:val="2"/>
        <w:pageBreakBefore w:val="0"/>
        <w:widowControl w:val="0"/>
        <w:kinsoku/>
        <w:wordWrap/>
        <w:overflowPunct/>
        <w:topLinePunct w:val="0"/>
        <w:autoSpaceDE/>
        <w:autoSpaceDN/>
        <w:bidi w:val="0"/>
        <w:adjustRightInd/>
        <w:snapToGrid/>
        <w:spacing w:after="0" w:afterLines="0" w:line="580" w:lineRule="exact"/>
        <w:ind w:left="0" w:leftChars="0" w:firstLine="676" w:firstLineChars="200"/>
        <w:textAlignment w:val="auto"/>
        <w:rPr>
          <w:rFonts w:hint="default" w:ascii="Times New Roman" w:hAnsi="Times New Roman" w:eastAsia="仿宋" w:cs="Times New Roman"/>
          <w:spacing w:val="9"/>
          <w:sz w:val="32"/>
          <w:szCs w:val="32"/>
          <w:lang w:val="en-US" w:eastAsia="zh-CN"/>
        </w:rPr>
      </w:pPr>
      <w:r>
        <w:rPr>
          <w:rFonts w:hint="default" w:ascii="Times New Roman" w:hAnsi="Times New Roman" w:eastAsia="仿宋" w:cs="Times New Roman"/>
          <w:spacing w:val="9"/>
          <w:sz w:val="32"/>
          <w:szCs w:val="32"/>
          <w:lang w:val="en-US" w:eastAsia="zh-CN"/>
        </w:rPr>
        <w:t>根据项目总体规划，本项目拆迁完可出让土地面积为920亩，土地性质为商业居住用地。项目收益主要来源包括土地出让带来的经济效益，收益的实现受地方经济发展情况影响较大。经测算，在债券存续期内，本项目累计净收益42884.02万元，应付债券本金及利息合计18375万元，项目运营净收益对债券本息的覆盖倍数为2.33倍，能够合理保障偿还所使用的地方政府专项债券资金的本金和利息。</w:t>
      </w:r>
    </w:p>
    <w:p w14:paraId="40780BFA">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420" w:leftChars="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未来家园四期</w:t>
      </w:r>
    </w:p>
    <w:p w14:paraId="51B3A98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周口港区未来家园四期棚户区改造项目项目总用地面积146.25 亩，总建筑面积 253848.28平方米，建设安置房1548 套，同时配套建设绿化、照明、给排水等附属设施。</w:t>
      </w:r>
    </w:p>
    <w:p w14:paraId="1636C9D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19" w:rightChars="0" w:firstLine="676" w:firstLineChars="200"/>
        <w:textAlignment w:val="auto"/>
        <w:rPr>
          <w:rFonts w:hint="default" w:ascii="Times New Roman" w:hAnsi="Times New Roman" w:eastAsia="仿宋" w:cs="Times New Roman"/>
          <w:spacing w:val="9"/>
          <w:sz w:val="32"/>
          <w:szCs w:val="32"/>
          <w:lang w:val="en-US" w:eastAsia="zh-CN"/>
        </w:rPr>
      </w:pPr>
      <w:r>
        <w:rPr>
          <w:rFonts w:hint="default" w:ascii="Times New Roman" w:hAnsi="Times New Roman" w:eastAsia="仿宋" w:cs="Times New Roman"/>
          <w:spacing w:val="9"/>
          <w:sz w:val="32"/>
          <w:szCs w:val="32"/>
          <w:lang w:val="en-US" w:eastAsia="zh-CN"/>
        </w:rPr>
        <w:t>项目总投资额72013.24元，本项目所需资金由财政资金安排、申请政府专项债券资金和银行贷款相结合的方式筹措，其中财政资金安排15013.24 万元，申请债券资金24000.00万元，银行贷款33000.00万元。</w:t>
      </w:r>
      <w:r>
        <w:rPr>
          <w:rFonts w:hint="eastAsia" w:ascii="Times New Roman" w:hAnsi="Times New Roman" w:eastAsia="仿宋" w:cs="Times New Roman"/>
          <w:spacing w:val="9"/>
          <w:sz w:val="32"/>
          <w:szCs w:val="32"/>
          <w:lang w:val="en-US" w:eastAsia="zh-CN"/>
        </w:rPr>
        <w:t>截至目前该项目收到专项债券资金24000万元，已支出17747.1万元，剩余6252.9万元未支出。</w:t>
      </w:r>
    </w:p>
    <w:p w14:paraId="6876B11C">
      <w:pPr>
        <w:pStyle w:val="2"/>
        <w:pageBreakBefore w:val="0"/>
        <w:widowControl w:val="0"/>
        <w:kinsoku/>
        <w:wordWrap/>
        <w:overflowPunct/>
        <w:topLinePunct w:val="0"/>
        <w:autoSpaceDE/>
        <w:autoSpaceDN/>
        <w:bidi w:val="0"/>
        <w:adjustRightInd/>
        <w:snapToGrid/>
        <w:spacing w:after="0" w:afterLines="0" w:line="580" w:lineRule="exact"/>
        <w:ind w:left="0" w:leftChars="0" w:firstLine="676" w:firstLineChars="200"/>
        <w:textAlignment w:val="auto"/>
        <w:rPr>
          <w:rFonts w:hint="default" w:ascii="Times New Roman" w:hAnsi="Times New Roman" w:cs="Times New Roman"/>
          <w:lang w:val="en-US" w:eastAsia="zh-CN"/>
        </w:rPr>
      </w:pPr>
      <w:r>
        <w:rPr>
          <w:rFonts w:hint="default" w:ascii="Times New Roman" w:hAnsi="Times New Roman" w:eastAsia="仿宋" w:cs="Times New Roman"/>
          <w:spacing w:val="9"/>
          <w:sz w:val="32"/>
          <w:szCs w:val="32"/>
          <w:lang w:val="en-US" w:eastAsia="zh-CN"/>
        </w:rPr>
        <w:t>根据项目总体规划，本项目拆迁完可出让土地面积为930亩，土地性质为商业居住用地。项目收益主要来源包括土地出让带来的经济效益，收益的实现受地方经济发展情况影响较大。经测算，在债券存续期内，本项目累计净收益51820.09万元，应付债券本金及利息合计29400万元，项目运营净收益对债券本息的覆盖倍数为1.76倍，能够合理保障偿还所使用的地方政府专项债券资金的本金和利息。</w:t>
      </w:r>
    </w:p>
    <w:p w14:paraId="5C869C99">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420" w:leftChars="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B保项目</w:t>
      </w:r>
    </w:p>
    <w:p w14:paraId="5DFEA739">
      <w:pPr>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周口港口保税物流中心（B）型主要利用周口的岸线资源和水运优势，发展现代物流业。周口港口保税物流中心（B型）项目总建筑面积10.4万㎡，建设物流建筑45698.71㎡，辅助生产设施500㎡，综合服务楼32600㎡，场坪21460.94㎡，地下建筑3980㎡，以及配建项目区内硬化及绿化等配套设施。</w:t>
      </w:r>
    </w:p>
    <w:p w14:paraId="2672BBE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19" w:rightChars="0" w:firstLine="676" w:firstLineChars="200"/>
        <w:textAlignment w:val="auto"/>
        <w:rPr>
          <w:rFonts w:hint="default" w:ascii="Times New Roman" w:hAnsi="Times New Roman" w:eastAsia="仿宋" w:cs="Times New Roman"/>
          <w:spacing w:val="9"/>
          <w:sz w:val="32"/>
          <w:szCs w:val="32"/>
          <w:lang w:val="en-US" w:eastAsia="zh-CN"/>
        </w:rPr>
      </w:pPr>
      <w:r>
        <w:rPr>
          <w:rFonts w:hint="default" w:ascii="Times New Roman" w:hAnsi="Times New Roman" w:eastAsia="仿宋" w:cs="Times New Roman"/>
          <w:spacing w:val="9"/>
          <w:sz w:val="32"/>
          <w:szCs w:val="32"/>
          <w:lang w:val="en-US" w:eastAsia="zh-CN"/>
        </w:rPr>
        <w:t>项目总投资额42250.13万元，本项目所需资金由财政资金安排和申请政府专项债券资金相结合的方式筹措，其中财政资金安排11250.13万元，申请债券资金31000.00万元。</w:t>
      </w:r>
      <w:r>
        <w:rPr>
          <w:rFonts w:hint="eastAsia" w:ascii="Times New Roman" w:hAnsi="Times New Roman" w:eastAsia="仿宋" w:cs="Times New Roman"/>
          <w:spacing w:val="9"/>
          <w:sz w:val="32"/>
          <w:szCs w:val="32"/>
          <w:lang w:val="en-US" w:eastAsia="zh-CN"/>
        </w:rPr>
        <w:t>目前该项目收到专项债券资金14500万元，已支出7280.69万元，剩余7219.31万元未支出。</w:t>
      </w:r>
    </w:p>
    <w:p w14:paraId="5C33163D">
      <w:pPr>
        <w:pStyle w:val="2"/>
        <w:pageBreakBefore w:val="0"/>
        <w:widowControl w:val="0"/>
        <w:kinsoku/>
        <w:wordWrap/>
        <w:overflowPunct/>
        <w:topLinePunct w:val="0"/>
        <w:autoSpaceDE/>
        <w:autoSpaceDN/>
        <w:bidi w:val="0"/>
        <w:adjustRightInd/>
        <w:snapToGrid/>
        <w:spacing w:after="0" w:afterLines="0" w:line="580" w:lineRule="exact"/>
        <w:ind w:left="0" w:leftChars="0" w:firstLine="676" w:firstLineChars="200"/>
        <w:textAlignment w:val="auto"/>
        <w:rPr>
          <w:rFonts w:hint="default" w:ascii="Times New Roman" w:hAnsi="Times New Roman" w:eastAsia="仿宋" w:cs="Times New Roman"/>
          <w:spacing w:val="9"/>
          <w:sz w:val="32"/>
          <w:szCs w:val="32"/>
          <w:lang w:val="en-US" w:eastAsia="zh-CN"/>
        </w:rPr>
      </w:pPr>
      <w:r>
        <w:rPr>
          <w:rFonts w:hint="default" w:ascii="Times New Roman" w:hAnsi="Times New Roman" w:eastAsia="仿宋" w:cs="Times New Roman"/>
          <w:spacing w:val="9"/>
          <w:sz w:val="32"/>
          <w:szCs w:val="32"/>
          <w:lang w:val="en-US" w:eastAsia="zh-CN"/>
        </w:rPr>
        <w:t>本项目债券募集资金投资项目的现金流入通过物流建筑出租、综合服务楼出租、物业服务收入和物流中心货柜综合费实现，出于保守谨慎的原则，各项经营内容的单价在运营期内不考虑增长。</w:t>
      </w:r>
    </w:p>
    <w:p w14:paraId="67AF48B7">
      <w:pPr>
        <w:pStyle w:val="2"/>
        <w:pageBreakBefore w:val="0"/>
        <w:widowControl w:val="0"/>
        <w:kinsoku/>
        <w:wordWrap/>
        <w:overflowPunct/>
        <w:topLinePunct w:val="0"/>
        <w:autoSpaceDE/>
        <w:autoSpaceDN/>
        <w:bidi w:val="0"/>
        <w:adjustRightInd/>
        <w:snapToGrid/>
        <w:spacing w:after="0" w:afterLines="0" w:line="580" w:lineRule="exact"/>
        <w:ind w:left="0" w:leftChars="0" w:firstLine="676" w:firstLineChars="200"/>
        <w:textAlignment w:val="auto"/>
        <w:rPr>
          <w:rFonts w:hint="default" w:ascii="Times New Roman" w:hAnsi="Times New Roman" w:eastAsia="仿宋" w:cs="Times New Roman"/>
          <w:spacing w:val="9"/>
          <w:sz w:val="32"/>
          <w:szCs w:val="32"/>
          <w:lang w:val="en-US" w:eastAsia="zh-CN"/>
        </w:rPr>
      </w:pPr>
      <w:r>
        <w:rPr>
          <w:rFonts w:hint="default" w:ascii="Times New Roman" w:hAnsi="Times New Roman" w:eastAsia="仿宋" w:cs="Times New Roman"/>
          <w:spacing w:val="9"/>
          <w:sz w:val="32"/>
          <w:szCs w:val="32"/>
          <w:lang w:val="en-US" w:eastAsia="zh-CN"/>
        </w:rPr>
        <w:t>经测算，本项目专项债券十五年偿还本息合计51925万元，可用于偿还债券本息的业务结余收入共计71888.28万元，预计本项目收益对本息的覆盖倍数为1.38，项目收益可以覆盖债券成本，保障程度较高。</w:t>
      </w:r>
    </w:p>
    <w:p w14:paraId="4ABDB9C7">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420" w:leftChars="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中小企业产业园基础设施建设项目</w:t>
      </w:r>
    </w:p>
    <w:p w14:paraId="2DCB9FCA">
      <w:pPr>
        <w:pStyle w:val="2"/>
        <w:pageBreakBefore w:val="0"/>
        <w:widowControl w:val="0"/>
        <w:kinsoku/>
        <w:wordWrap/>
        <w:overflowPunct/>
        <w:topLinePunct w:val="0"/>
        <w:autoSpaceDE/>
        <w:autoSpaceDN/>
        <w:bidi w:val="0"/>
        <w:adjustRightInd/>
        <w:snapToGrid/>
        <w:spacing w:after="0" w:afterLines="0" w:line="580" w:lineRule="exact"/>
        <w:ind w:left="0" w:leftChars="0"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中小企业产业园基础设施建设项目主要满足港口外来企业以及面向食品、装备、材料、钢铁等产业链上下游，搭建创业平台，鼓励创业型的企业入驻发展。周口中小企业产业园区基础设施建设项目是属于有一定收益的公益性项目。</w:t>
      </w:r>
    </w:p>
    <w:p w14:paraId="09831013">
      <w:pPr>
        <w:pStyle w:val="2"/>
        <w:pageBreakBefore w:val="0"/>
        <w:widowControl w:val="0"/>
        <w:kinsoku/>
        <w:wordWrap/>
        <w:overflowPunct/>
        <w:topLinePunct w:val="0"/>
        <w:autoSpaceDE/>
        <w:autoSpaceDN/>
        <w:bidi w:val="0"/>
        <w:adjustRightInd/>
        <w:snapToGrid/>
        <w:spacing w:after="0" w:afterLines="0" w:line="580" w:lineRule="exact"/>
        <w:ind w:left="0" w:leftChars="0"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项目总投资51576万元，项目资金筹措方式为财政安排资金和申请使用专项债券资金，其中财政安排资金21576万元，申请专项债券资金30000万元。</w:t>
      </w:r>
      <w:r>
        <w:rPr>
          <w:rFonts w:hint="eastAsia" w:hAnsi="Times New Roman" w:eastAsia="仿宋" w:cs="Times New Roman"/>
          <w:sz w:val="32"/>
          <w:szCs w:val="32"/>
          <w:lang w:val="en-US" w:eastAsia="zh-CN"/>
        </w:rPr>
        <w:t>目前该项目收到专项债券资金15000万元，均未支出。</w:t>
      </w:r>
    </w:p>
    <w:p w14:paraId="36B6CEEA">
      <w:pPr>
        <w:pStyle w:val="2"/>
        <w:pageBreakBefore w:val="0"/>
        <w:widowControl w:val="0"/>
        <w:kinsoku/>
        <w:wordWrap/>
        <w:overflowPunct/>
        <w:topLinePunct w:val="0"/>
        <w:autoSpaceDE/>
        <w:autoSpaceDN/>
        <w:bidi w:val="0"/>
        <w:adjustRightInd/>
        <w:snapToGrid/>
        <w:spacing w:after="0" w:afterLines="0" w:line="580" w:lineRule="exact"/>
        <w:ind w:left="0" w:leftChars="0"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本项目经营收入为项目建成后厂房仓库出租收入、办公楼出租收入、宿舍床位出租收入、物业收入、食堂出租收入、停车位收入及充电桩服务费收入。经测算，债券存续期项目运营可产生的净收益为74808.2万元，应付有息债务本息合计61387.5万元，项目产生净收益为应付债务本息合计1.22倍，预期项目收益能够合理保障偿还该项目专项债券的本金和利息，实现项目收益和融资自求平衡。</w:t>
      </w:r>
    </w:p>
    <w:p w14:paraId="4853ECA3">
      <w:pPr>
        <w:pStyle w:val="2"/>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仿宋" w:cs="Times New Roman"/>
          <w:sz w:val="32"/>
          <w:szCs w:val="32"/>
          <w:lang w:val="en-US" w:eastAsia="zh-CN"/>
        </w:rPr>
      </w:pPr>
    </w:p>
    <w:p w14:paraId="3B61E3A2">
      <w:pPr>
        <w:pageBreakBefore w:val="0"/>
        <w:widowControl w:val="0"/>
        <w:numPr>
          <w:ilvl w:val="0"/>
          <w:numId w:val="0"/>
        </w:numPr>
        <w:kinsoku/>
        <w:wordWrap/>
        <w:overflowPunct/>
        <w:topLinePunct w:val="0"/>
        <w:autoSpaceDE/>
        <w:autoSpaceDN/>
        <w:bidi w:val="0"/>
        <w:adjustRightInd/>
        <w:snapToGrid/>
        <w:spacing w:line="580" w:lineRule="exact"/>
        <w:jc w:val="righ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b/>
          <w:bCs/>
          <w:sz w:val="32"/>
          <w:szCs w:val="32"/>
          <w:lang w:val="en-US" w:eastAsia="zh-CN"/>
        </w:rPr>
        <w:t xml:space="preserve">                         </w:t>
      </w:r>
      <w:r>
        <w:rPr>
          <w:rFonts w:hint="default" w:ascii="Times New Roman" w:hAnsi="Times New Roman" w:eastAsia="仿宋" w:cs="Times New Roman"/>
          <w:sz w:val="32"/>
          <w:szCs w:val="32"/>
          <w:lang w:val="en-US" w:eastAsia="zh-CN"/>
        </w:rPr>
        <w:t>周口港城投资发展有限公司</w:t>
      </w:r>
    </w:p>
    <w:p w14:paraId="442DCC9B">
      <w:pPr>
        <w:pageBreakBefore w:val="0"/>
        <w:widowControl w:val="0"/>
        <w:numPr>
          <w:ilvl w:val="0"/>
          <w:numId w:val="0"/>
        </w:numPr>
        <w:kinsoku/>
        <w:wordWrap/>
        <w:overflowPunct/>
        <w:topLinePunct w:val="0"/>
        <w:autoSpaceDE/>
        <w:autoSpaceDN/>
        <w:bidi w:val="0"/>
        <w:adjustRightInd/>
        <w:snapToGrid/>
        <w:spacing w:line="580" w:lineRule="exact"/>
        <w:jc w:val="righ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 xml:space="preserve">                              202</w:t>
      </w:r>
      <w:r>
        <w:rPr>
          <w:rFonts w:hint="eastAsia" w:ascii="Times New Roman" w:hAnsi="Times New Roman" w:eastAsia="仿宋" w:cs="Times New Roman"/>
          <w:sz w:val="32"/>
          <w:szCs w:val="32"/>
          <w:lang w:val="en-US" w:eastAsia="zh-CN"/>
        </w:rPr>
        <w:t>6</w:t>
      </w:r>
      <w:r>
        <w:rPr>
          <w:rFonts w:hint="default" w:ascii="Times New Roman" w:hAnsi="Times New Roman" w:eastAsia="仿宋" w:cs="Times New Roman"/>
          <w:sz w:val="32"/>
          <w:szCs w:val="32"/>
          <w:lang w:val="en-US" w:eastAsia="zh-CN"/>
        </w:rPr>
        <w:t>年</w:t>
      </w:r>
      <w:r>
        <w:rPr>
          <w:rFonts w:hint="eastAsia" w:ascii="Times New Roman" w:hAnsi="Times New Roman" w:eastAsia="仿宋" w:cs="Times New Roman"/>
          <w:sz w:val="32"/>
          <w:szCs w:val="32"/>
          <w:lang w:val="en-US" w:eastAsia="zh-CN"/>
        </w:rPr>
        <w:t>5</w:t>
      </w:r>
      <w:r>
        <w:rPr>
          <w:rFonts w:hint="default" w:ascii="Times New Roman" w:hAnsi="Times New Roman" w:eastAsia="仿宋" w:cs="Times New Roman"/>
          <w:sz w:val="32"/>
          <w:szCs w:val="32"/>
          <w:lang w:val="en-US" w:eastAsia="zh-CN"/>
        </w:rPr>
        <w:t>月</w:t>
      </w:r>
      <w:r>
        <w:rPr>
          <w:rFonts w:hint="eastAsia" w:ascii="Times New Roman" w:hAnsi="Times New Roman" w:eastAsia="仿宋" w:cs="Times New Roman"/>
          <w:sz w:val="32"/>
          <w:szCs w:val="32"/>
          <w:lang w:val="en-US" w:eastAsia="zh-CN"/>
        </w:rPr>
        <w:t>12</w:t>
      </w:r>
      <w:r>
        <w:rPr>
          <w:rFonts w:hint="default" w:ascii="Times New Roman" w:hAnsi="Times New Roman" w:eastAsia="仿宋" w:cs="Times New Roman"/>
          <w:sz w:val="32"/>
          <w:szCs w:val="32"/>
          <w:lang w:val="en-US" w:eastAsia="zh-CN"/>
        </w:rPr>
        <w:t>日</w:t>
      </w:r>
    </w:p>
    <w:p w14:paraId="5A7609F8">
      <w:pPr>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仿宋" w:hAnsi="仿宋" w:eastAsia="仿宋" w:cs="仿宋"/>
          <w:sz w:val="32"/>
          <w:szCs w:val="32"/>
          <w:lang w:val="en-US" w:eastAsia="zh-CN"/>
        </w:rPr>
      </w:pP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71469A5-27D3-458A-AE38-916F11275DF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2" w:fontKey="{761CD096-8A20-4340-A1B3-A5A1356BFE8C}"/>
  </w:font>
  <w:font w:name="仿宋">
    <w:panose1 w:val="02010609060101010101"/>
    <w:charset w:val="86"/>
    <w:family w:val="modern"/>
    <w:pitch w:val="default"/>
    <w:sig w:usb0="800002BF" w:usb1="38CF7CFA" w:usb2="00000016" w:usb3="00000000" w:csb0="00040001" w:csb1="00000000"/>
    <w:embedRegular r:id="rId3" w:fontKey="{55A1742C-5ED4-4142-ACE8-E6BB69BC711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74041">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B747AE">
                          <w:pPr>
                            <w:pStyle w:val="7"/>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6B747AE">
                    <w:pPr>
                      <w:pStyle w:val="7"/>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161FEE"/>
    <w:multiLevelType w:val="singleLevel"/>
    <w:tmpl w:val="3E161FEE"/>
    <w:lvl w:ilvl="0" w:tentative="0">
      <w:start w:val="1"/>
      <w:numFmt w:val="chineseCounting"/>
      <w:suff w:val="nothing"/>
      <w:lvlText w:val="%1、"/>
      <w:lvlJc w:val="left"/>
      <w:pPr>
        <w:ind w:left="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2OTYzNjZmZTIzMDAzZThkYTQ3Yzc5ZDI4MWUyOGIifQ=="/>
  </w:docVars>
  <w:rsids>
    <w:rsidRoot w:val="7D247BD8"/>
    <w:rsid w:val="03E71E8D"/>
    <w:rsid w:val="061B5C82"/>
    <w:rsid w:val="09AC4A8D"/>
    <w:rsid w:val="0AD06DBA"/>
    <w:rsid w:val="0EBE461F"/>
    <w:rsid w:val="161A3A36"/>
    <w:rsid w:val="1D297840"/>
    <w:rsid w:val="1F3A4035"/>
    <w:rsid w:val="222F450C"/>
    <w:rsid w:val="2C7500CF"/>
    <w:rsid w:val="30BF25EC"/>
    <w:rsid w:val="35867B7C"/>
    <w:rsid w:val="38DE1A7D"/>
    <w:rsid w:val="3A9B4093"/>
    <w:rsid w:val="3BDF3B42"/>
    <w:rsid w:val="3EAD7F28"/>
    <w:rsid w:val="46840FAC"/>
    <w:rsid w:val="4859518C"/>
    <w:rsid w:val="48F36E7F"/>
    <w:rsid w:val="4A9F6BF7"/>
    <w:rsid w:val="4C6E1054"/>
    <w:rsid w:val="50B9287D"/>
    <w:rsid w:val="661D58D1"/>
    <w:rsid w:val="6B69463E"/>
    <w:rsid w:val="6CA8030F"/>
    <w:rsid w:val="6DA46EBD"/>
    <w:rsid w:val="72B022CE"/>
    <w:rsid w:val="75134281"/>
    <w:rsid w:val="754B57C9"/>
    <w:rsid w:val="769345DC"/>
    <w:rsid w:val="7D247B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autoRedefine/>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6">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qFormat/>
    <w:uiPriority w:val="0"/>
    <w:pPr>
      <w:autoSpaceDE/>
      <w:autoSpaceDN/>
      <w:adjustRightInd/>
      <w:spacing w:after="120" w:afterLines="0" w:line="240" w:lineRule="auto"/>
      <w:ind w:left="420" w:leftChars="200"/>
      <w:jc w:val="both"/>
    </w:pPr>
    <w:rPr>
      <w:rFonts w:ascii="Times New Roman"/>
      <w:kern w:val="2"/>
      <w:szCs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1804</Words>
  <Characters>2073</Characters>
  <Lines>0</Lines>
  <Paragraphs>0</Paragraphs>
  <TotalTime>1794</TotalTime>
  <ScaleCrop>false</ScaleCrop>
  <LinksUpToDate>false</LinksUpToDate>
  <CharactersWithSpaces>2150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2022-06-19T02:52:00Z</dcterms:created>
  <dc:creator>齐晗方</dc:creator>
  <cp:lastModifiedBy>瓜子 。</cp:lastModifiedBy>
  <cp:lastPrinted>2024-06-04T03:22:00Z</cp:lastPrinted>
  <dcterms:modified xsi:type="dcterms:W3CDTF">2026-05-12T02:27:44Z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0D143D354797467AB35AE920B2173B83_13</vt:lpwstr>
  </property>
  <property fmtid="{D5CDD505-2E9C-101B-9397-08002B2CF9AE}" pid="4" name="KSOTemplateDocerSaveRecord">
    <vt:lpwstr>eyJoZGlkIjoiMmM2OTYzNjZmZTIzMDAzZThkYTQ3Yzc5ZDI4MWUyOGIiLCJ1c2VySWQiOiIzMjAxNzUxODQifQ==</vt:lpwstr>
  </property>
</Properties>
</file>